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8785DF">
      <w:pPr>
        <w:pStyle w:val="4"/>
        <w:keepNext w:val="0"/>
        <w:keepLines w:val="0"/>
        <w:pageBreakBefore w:val="0"/>
        <w:widowControl w:val="0"/>
        <w:kinsoku/>
        <w:wordWrap/>
        <w:overflowPunct/>
        <w:topLinePunct w:val="0"/>
        <w:autoSpaceDE/>
        <w:autoSpaceDN/>
        <w:bidi w:val="0"/>
        <w:adjustRightInd w:val="0"/>
        <w:snapToGrid w:val="0"/>
        <w:spacing w:line="240" w:lineRule="auto"/>
        <w:ind w:left="0"/>
        <w:jc w:val="left"/>
        <w:textAlignment w:val="auto"/>
        <w:rPr>
          <w:rFonts w:hint="default" w:ascii="仿宋" w:hAnsi="仿宋" w:eastAsia="仿宋" w:cs="仿宋"/>
          <w:lang w:val="en-US" w:eastAsia="zh-CN"/>
        </w:rPr>
      </w:pPr>
      <w:bookmarkStart w:id="0" w:name="_Toc28326"/>
      <w:r>
        <w:rPr>
          <w:rFonts w:hint="eastAsia" w:ascii="仿宋" w:hAnsi="仿宋" w:eastAsia="仿宋" w:cs="仿宋"/>
          <w:lang w:eastAsia="zh-CN"/>
        </w:rPr>
        <w:t>附件</w:t>
      </w:r>
      <w:r>
        <w:rPr>
          <w:rFonts w:hint="eastAsia" w:ascii="仿宋" w:hAnsi="仿宋" w:eastAsia="仿宋" w:cs="仿宋"/>
          <w:lang w:val="en-US" w:eastAsia="zh-CN"/>
        </w:rPr>
        <w:t>3</w:t>
      </w:r>
    </w:p>
    <w:p w14:paraId="0DB708E3">
      <w:pPr>
        <w:pStyle w:val="4"/>
        <w:spacing w:line="360" w:lineRule="auto"/>
        <w:ind w:left="1349"/>
        <w:jc w:val="center"/>
        <w:rPr>
          <w:rFonts w:ascii="仿宋" w:hAnsi="仿宋" w:eastAsia="仿宋" w:cs="仿宋"/>
          <w:lang w:eastAsia="zh-CN"/>
        </w:rPr>
      </w:pPr>
      <w:r>
        <w:rPr>
          <w:rFonts w:hint="eastAsia" w:ascii="仿宋" w:hAnsi="仿宋" w:eastAsia="仿宋" w:cs="仿宋"/>
          <w:lang w:eastAsia="zh-CN"/>
        </w:rPr>
        <w:t>评标办法（综合评估法）</w:t>
      </w:r>
      <w:bookmarkEnd w:id="0"/>
    </w:p>
    <w:tbl>
      <w:tblPr>
        <w:tblStyle w:val="9"/>
        <w:tblW w:w="87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66"/>
        <w:gridCol w:w="1760"/>
        <w:gridCol w:w="5460"/>
      </w:tblGrid>
      <w:tr w14:paraId="6477F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After w:w="0" w:type="auto"/>
          <w:cantSplit/>
          <w:trHeight w:val="1570" w:hRule="atLeast"/>
          <w:jc w:val="center"/>
        </w:trPr>
        <w:tc>
          <w:tcPr>
            <w:tcW w:w="8786" w:type="dxa"/>
            <w:gridSpan w:val="3"/>
            <w:vAlign w:val="center"/>
          </w:tcPr>
          <w:p w14:paraId="390D6E31">
            <w:pPr>
              <w:pStyle w:val="11"/>
              <w:spacing w:line="400" w:lineRule="exact"/>
              <w:jc w:val="center"/>
              <w:rPr>
                <w:rFonts w:ascii="仿宋" w:hAnsi="仿宋" w:eastAsia="仿宋" w:cs="仿宋"/>
                <w:sz w:val="24"/>
                <w:szCs w:val="24"/>
              </w:rPr>
            </w:pPr>
            <w:bookmarkStart w:id="1" w:name="_bookmark82"/>
            <w:bookmarkEnd w:id="1"/>
            <w:bookmarkStart w:id="2" w:name="_bookmark83"/>
            <w:bookmarkEnd w:id="2"/>
            <w:r>
              <w:rPr>
                <w:rFonts w:hint="eastAsia" w:ascii="仿宋" w:hAnsi="仿宋" w:eastAsia="仿宋" w:cs="仿宋"/>
                <w:sz w:val="24"/>
                <w:szCs w:val="24"/>
              </w:rPr>
              <w:t>分值构成</w:t>
            </w:r>
          </w:p>
          <w:p w14:paraId="2E61CEC1">
            <w:pPr>
              <w:pStyle w:val="11"/>
              <w:tabs>
                <w:tab w:val="left" w:pos="2100"/>
              </w:tabs>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(总分100分)</w:t>
            </w:r>
          </w:p>
          <w:p w14:paraId="2CDCE9C4">
            <w:pPr>
              <w:pStyle w:val="11"/>
              <w:tabs>
                <w:tab w:val="left" w:pos="2100"/>
              </w:tabs>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投标报价：20分。</w:t>
            </w:r>
          </w:p>
          <w:p w14:paraId="235C3BE2">
            <w:pPr>
              <w:pStyle w:val="11"/>
              <w:tabs>
                <w:tab w:val="left" w:pos="2100"/>
              </w:tabs>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技术部分：45分。</w:t>
            </w:r>
          </w:p>
          <w:p w14:paraId="22179EAC">
            <w:pPr>
              <w:pStyle w:val="11"/>
              <w:tabs>
                <w:tab w:val="left" w:pos="2100"/>
              </w:tabs>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商务部分：35分。</w:t>
            </w:r>
          </w:p>
        </w:tc>
      </w:tr>
      <w:tr w14:paraId="604D38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1566" w:type="dxa"/>
            <w:vAlign w:val="center"/>
          </w:tcPr>
          <w:p w14:paraId="1247A22B">
            <w:pPr>
              <w:pStyle w:val="11"/>
              <w:spacing w:line="400" w:lineRule="exact"/>
              <w:jc w:val="center"/>
              <w:rPr>
                <w:rFonts w:ascii="仿宋" w:hAnsi="仿宋" w:eastAsia="仿宋" w:cs="仿宋"/>
                <w:sz w:val="24"/>
                <w:szCs w:val="24"/>
                <w:lang w:eastAsia="zh-CN"/>
              </w:rPr>
            </w:pPr>
            <w:r>
              <w:rPr>
                <w:rFonts w:hint="eastAsia" w:ascii="仿宋" w:hAnsi="仿宋" w:eastAsia="仿宋" w:cs="仿宋"/>
                <w:sz w:val="24"/>
                <w:szCs w:val="24"/>
                <w:lang w:eastAsia="zh-CN"/>
              </w:rPr>
              <w:t>投标报价评分标准</w:t>
            </w:r>
          </w:p>
        </w:tc>
        <w:tc>
          <w:tcPr>
            <w:tcW w:w="1760" w:type="dxa"/>
            <w:vAlign w:val="center"/>
          </w:tcPr>
          <w:p w14:paraId="44357385">
            <w:pPr>
              <w:pStyle w:val="11"/>
              <w:spacing w:line="400" w:lineRule="exact"/>
              <w:jc w:val="center"/>
              <w:rPr>
                <w:rFonts w:ascii="仿宋" w:hAnsi="仿宋" w:eastAsia="仿宋" w:cs="仿宋"/>
                <w:sz w:val="24"/>
                <w:szCs w:val="24"/>
                <w:lang w:eastAsia="zh-CN"/>
              </w:rPr>
            </w:pPr>
            <w:r>
              <w:rPr>
                <w:rFonts w:hint="eastAsia" w:ascii="仿宋" w:hAnsi="仿宋" w:eastAsia="仿宋" w:cs="仿宋"/>
                <w:sz w:val="24"/>
                <w:szCs w:val="24"/>
                <w:lang w:eastAsia="zh-CN"/>
              </w:rPr>
              <w:t>投标报价</w:t>
            </w:r>
          </w:p>
          <w:p w14:paraId="49950B96">
            <w:pPr>
              <w:pStyle w:val="11"/>
              <w:spacing w:line="400" w:lineRule="exact"/>
              <w:jc w:val="center"/>
              <w:rPr>
                <w:rFonts w:ascii="仿宋" w:hAnsi="仿宋" w:eastAsia="仿宋" w:cs="仿宋"/>
                <w:sz w:val="24"/>
                <w:szCs w:val="24"/>
                <w:lang w:eastAsia="zh-CN"/>
              </w:rPr>
            </w:pPr>
            <w:r>
              <w:rPr>
                <w:rFonts w:hint="eastAsia" w:ascii="仿宋" w:hAnsi="仿宋" w:eastAsia="仿宋" w:cs="仿宋"/>
                <w:sz w:val="24"/>
                <w:szCs w:val="24"/>
                <w:lang w:eastAsia="zh-CN"/>
              </w:rPr>
              <w:t>(满分20分)</w:t>
            </w:r>
          </w:p>
        </w:tc>
        <w:tc>
          <w:tcPr>
            <w:tcW w:w="5460" w:type="dxa"/>
            <w:vAlign w:val="center"/>
          </w:tcPr>
          <w:p w14:paraId="7AD0AEF7">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（1）算术修正报价</w:t>
            </w:r>
          </w:p>
          <w:p w14:paraId="247EB415">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若存在算术修正，应按修正后的最终投标报价进行投标基准价和投标报价得分计算</w:t>
            </w:r>
          </w:p>
          <w:p w14:paraId="1BD28B8A">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（2）得分计算：通过初步评审且最终投标报价下浮最高的投标报价，其价格分为满分。其他投标人的价格分统一按照下列公式计算：</w:t>
            </w:r>
          </w:p>
          <w:p w14:paraId="718930CC">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①工时费报价得分=（投标基准价/B）×10</w:t>
            </w:r>
          </w:p>
          <w:p w14:paraId="44F53E3D">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即：D1=（1-C1）/（1-B1，…，Bn）×10。</w:t>
            </w:r>
          </w:p>
          <w:p w14:paraId="7D326A78">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注：</w:t>
            </w:r>
          </w:p>
          <w:p w14:paraId="2597F8F6">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1）C1为工时费投标报价基准价，即满足招标文件要求且最终报价下浮最高的投标人的价格为该单项的投标基准价。</w:t>
            </w:r>
          </w:p>
          <w:p w14:paraId="67B143D3">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2）B1，…，Bn为经响应性评审合格的各投标人的最终投标报价。</w:t>
            </w:r>
          </w:p>
          <w:p w14:paraId="40AC920C">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②材料费报价得分=（投标基准价/B）×10</w:t>
            </w:r>
          </w:p>
          <w:p w14:paraId="3D6E2EBF">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即：D2=（1-C2）/（1-B2，…，Bn）×10。</w:t>
            </w:r>
          </w:p>
          <w:p w14:paraId="152170B4">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注：</w:t>
            </w:r>
          </w:p>
          <w:p w14:paraId="2730790A">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1）C2为材料费投标报价基准价，即满足招标文件要求且最终报价下浮最高的投标人的价格为该单项的投标基准价。</w:t>
            </w:r>
          </w:p>
          <w:p w14:paraId="5DAF50F9">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2）B2，…，Bn为经响应性评审合格的各投标人的最终投标报价。</w:t>
            </w:r>
          </w:p>
          <w:p w14:paraId="1FAFA1D8">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（3）D1，D2为各单项的分值。</w:t>
            </w:r>
          </w:p>
          <w:p w14:paraId="2A1E56C4">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工时费报价 D1：10分；</w:t>
            </w:r>
          </w:p>
          <w:p w14:paraId="41A12C50">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材料费报价 D2：10分。</w:t>
            </w:r>
          </w:p>
          <w:p w14:paraId="38940596">
            <w:pPr>
              <w:pStyle w:val="2"/>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（4）投标人的最终投标报价得分F1=D1+D2。</w:t>
            </w:r>
          </w:p>
        </w:tc>
      </w:tr>
      <w:tr w14:paraId="388CF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1566" w:type="dxa"/>
            <w:vMerge w:val="restart"/>
            <w:vAlign w:val="center"/>
          </w:tcPr>
          <w:p w14:paraId="1D7DD200">
            <w:pPr>
              <w:pStyle w:val="11"/>
              <w:spacing w:line="400" w:lineRule="exact"/>
              <w:jc w:val="center"/>
              <w:rPr>
                <w:rFonts w:ascii="仿宋" w:hAnsi="仿宋" w:eastAsia="仿宋" w:cs="仿宋"/>
                <w:sz w:val="24"/>
                <w:szCs w:val="24"/>
              </w:rPr>
            </w:pPr>
            <w:r>
              <w:rPr>
                <w:rFonts w:hint="eastAsia" w:ascii="仿宋" w:hAnsi="仿宋" w:eastAsia="仿宋" w:cs="仿宋"/>
                <w:sz w:val="24"/>
                <w:szCs w:val="24"/>
              </w:rPr>
              <w:t>技术</w:t>
            </w:r>
            <w:r>
              <w:rPr>
                <w:rFonts w:hint="eastAsia" w:ascii="仿宋" w:hAnsi="仿宋" w:eastAsia="仿宋" w:cs="仿宋"/>
                <w:sz w:val="24"/>
                <w:szCs w:val="24"/>
                <w:lang w:eastAsia="zh-CN"/>
              </w:rPr>
              <w:t>部分评分</w:t>
            </w:r>
            <w:r>
              <w:rPr>
                <w:rFonts w:hint="eastAsia" w:ascii="仿宋" w:hAnsi="仿宋" w:eastAsia="仿宋" w:cs="仿宋"/>
                <w:sz w:val="24"/>
                <w:szCs w:val="24"/>
              </w:rPr>
              <w:t>标准</w:t>
            </w:r>
          </w:p>
        </w:tc>
        <w:tc>
          <w:tcPr>
            <w:tcW w:w="1760" w:type="dxa"/>
            <w:vAlign w:val="center"/>
          </w:tcPr>
          <w:p w14:paraId="0ED61488">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服务方案（满分30分）</w:t>
            </w:r>
          </w:p>
        </w:tc>
        <w:tc>
          <w:tcPr>
            <w:tcW w:w="5460" w:type="dxa"/>
            <w:vAlign w:val="center"/>
          </w:tcPr>
          <w:p w14:paraId="638B7AAC">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第一个档次（26-30分）：投标人针对本项目提出的服务方案内容完整，其中车辆的年度保养及维修计划、技术的保证措施、质量的控制等方案合理、切实可行、科学规范、针对性强；</w:t>
            </w:r>
          </w:p>
          <w:p w14:paraId="6FFF8585">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第二个档次（22分）：投标人针对本项目提出的服务方案内容基本完整，其中车辆的年度保养及维修计划、技术的保证措施、质量的控制等方案基本合理、有一定针对性；</w:t>
            </w:r>
          </w:p>
          <w:p w14:paraId="663C4701">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第三个档次（10分）：投标人针对本项目提出的服务方案内容不完整，其中车辆的年度保养及维修计划、技术的保证措施、质量的控制等方案较差、针对性一般。</w:t>
            </w:r>
          </w:p>
          <w:p w14:paraId="076F6E61">
            <w:pPr>
              <w:pStyle w:val="11"/>
              <w:spacing w:line="400" w:lineRule="exact"/>
              <w:rPr>
                <w:rFonts w:ascii="仿宋" w:hAnsi="仿宋" w:eastAsia="仿宋" w:cs="仿宋"/>
                <w:b/>
                <w:sz w:val="24"/>
                <w:szCs w:val="24"/>
                <w:lang w:eastAsia="zh-CN"/>
              </w:rPr>
            </w:pPr>
            <w:r>
              <w:rPr>
                <w:rFonts w:hint="eastAsia" w:ascii="仿宋" w:hAnsi="仿宋" w:eastAsia="仿宋" w:cs="仿宋"/>
                <w:sz w:val="24"/>
                <w:szCs w:val="24"/>
                <w:lang w:eastAsia="zh-CN"/>
              </w:rPr>
              <w:t>备注：无项目服务方案不得分。</w:t>
            </w:r>
          </w:p>
        </w:tc>
      </w:tr>
      <w:tr w14:paraId="5272EE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993" w:hRule="atLeast"/>
          <w:jc w:val="center"/>
        </w:trPr>
        <w:tc>
          <w:tcPr>
            <w:tcW w:w="1566" w:type="dxa"/>
            <w:vMerge w:val="continue"/>
            <w:vAlign w:val="center"/>
          </w:tcPr>
          <w:p w14:paraId="7B06E1EE">
            <w:pPr>
              <w:pStyle w:val="11"/>
              <w:spacing w:line="400" w:lineRule="exact"/>
              <w:jc w:val="center"/>
              <w:rPr>
                <w:rFonts w:ascii="仿宋" w:hAnsi="仿宋" w:eastAsia="仿宋" w:cs="仿宋"/>
                <w:sz w:val="24"/>
                <w:szCs w:val="24"/>
                <w:lang w:eastAsia="zh-CN"/>
              </w:rPr>
            </w:pPr>
          </w:p>
        </w:tc>
        <w:tc>
          <w:tcPr>
            <w:tcW w:w="1760" w:type="dxa"/>
            <w:vAlign w:val="center"/>
          </w:tcPr>
          <w:p w14:paraId="3D462589">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人员团队（满分15分）</w:t>
            </w:r>
          </w:p>
        </w:tc>
        <w:tc>
          <w:tcPr>
            <w:tcW w:w="5460" w:type="dxa"/>
            <w:vAlign w:val="center"/>
          </w:tcPr>
          <w:p w14:paraId="0F81EB23">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第一个档次（12-15分）：人员结构配置安排合理，技术人员力量配备完善，职责分工明确，专业能力强；</w:t>
            </w:r>
          </w:p>
          <w:p w14:paraId="650D68ED">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第二个档次（10分）：人员结构配置安排基本合理，技术人员力量配备一般，职责分工基本明确，专业能力一般；</w:t>
            </w:r>
          </w:p>
          <w:p w14:paraId="3E23D3FE">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第三个档次（6分）：人员结构配置不合理，技术人员力量配置较差，职责分工不明确，专业能力较弱。</w:t>
            </w:r>
          </w:p>
          <w:p w14:paraId="40B97A5A">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备注：无人员团队的不得分。</w:t>
            </w:r>
          </w:p>
        </w:tc>
      </w:tr>
      <w:tr w14:paraId="49B302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1566" w:type="dxa"/>
            <w:vMerge w:val="restart"/>
            <w:vAlign w:val="center"/>
          </w:tcPr>
          <w:p w14:paraId="226E2670">
            <w:pPr>
              <w:pStyle w:val="11"/>
              <w:spacing w:line="400" w:lineRule="exact"/>
              <w:jc w:val="center"/>
              <w:rPr>
                <w:rFonts w:ascii="仿宋" w:hAnsi="仿宋" w:eastAsia="仿宋" w:cs="仿宋"/>
                <w:sz w:val="24"/>
                <w:szCs w:val="24"/>
              </w:rPr>
            </w:pPr>
            <w:r>
              <w:rPr>
                <w:rFonts w:hint="eastAsia" w:ascii="仿宋" w:hAnsi="仿宋" w:eastAsia="仿宋" w:cs="仿宋"/>
                <w:sz w:val="24"/>
                <w:szCs w:val="24"/>
                <w:lang w:eastAsia="zh-CN"/>
              </w:rPr>
              <w:t>商务部分评分</w:t>
            </w:r>
            <w:r>
              <w:rPr>
                <w:rFonts w:hint="eastAsia" w:ascii="仿宋" w:hAnsi="仿宋" w:eastAsia="仿宋" w:cs="仿宋"/>
                <w:sz w:val="24"/>
                <w:szCs w:val="24"/>
              </w:rPr>
              <w:t>标准</w:t>
            </w:r>
          </w:p>
        </w:tc>
        <w:tc>
          <w:tcPr>
            <w:tcW w:w="1760" w:type="dxa"/>
            <w:vAlign w:val="center"/>
          </w:tcPr>
          <w:p w14:paraId="394FD6F8">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售后服务（满分15分）</w:t>
            </w:r>
          </w:p>
        </w:tc>
        <w:tc>
          <w:tcPr>
            <w:tcW w:w="5460" w:type="dxa"/>
            <w:vAlign w:val="center"/>
          </w:tcPr>
          <w:p w14:paraId="78A6D904">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第一个档次（12-15分）：售后服务承诺全面、明确，违约责任承诺具体，能为采购人提供及时、高效、便捷的售后服务；</w:t>
            </w:r>
          </w:p>
          <w:p w14:paraId="4AFEF921">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第二个档次（10分）：售后服务承诺较为全面，违约责任承诺一般，基本能为采购人提供售后服务；</w:t>
            </w:r>
          </w:p>
          <w:p w14:paraId="275D3914">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第三个档次（6分）：售后服务承诺较差，违约责任承诺空洞，基本能为采购人提供售后服务。</w:t>
            </w:r>
          </w:p>
          <w:p w14:paraId="4F31E92A">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备注：无售后服务措施及违约责任承诺不得分。</w:t>
            </w:r>
          </w:p>
        </w:tc>
      </w:tr>
      <w:tr w14:paraId="174AF5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1566" w:type="dxa"/>
            <w:vMerge w:val="continue"/>
            <w:vAlign w:val="center"/>
          </w:tcPr>
          <w:p w14:paraId="375AD244">
            <w:pPr>
              <w:pStyle w:val="11"/>
              <w:spacing w:line="400" w:lineRule="exact"/>
              <w:jc w:val="center"/>
              <w:rPr>
                <w:rFonts w:ascii="仿宋" w:hAnsi="仿宋" w:eastAsia="仿宋" w:cs="仿宋"/>
                <w:sz w:val="24"/>
                <w:szCs w:val="24"/>
                <w:lang w:eastAsia="zh-CN"/>
              </w:rPr>
            </w:pPr>
          </w:p>
        </w:tc>
        <w:tc>
          <w:tcPr>
            <w:tcW w:w="1760" w:type="dxa"/>
            <w:vAlign w:val="center"/>
          </w:tcPr>
          <w:p w14:paraId="14B49344">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应急救援预案</w:t>
            </w:r>
          </w:p>
          <w:p w14:paraId="737FDD51">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（满分10分）</w:t>
            </w:r>
          </w:p>
        </w:tc>
        <w:tc>
          <w:tcPr>
            <w:tcW w:w="5460" w:type="dxa"/>
            <w:vAlign w:val="center"/>
          </w:tcPr>
          <w:p w14:paraId="40CC48C0">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第一个档次（8-10分）：应急救援预案内容完整、应急处理措施及处理程序合理、切实可行、针对性强；</w:t>
            </w:r>
          </w:p>
          <w:p w14:paraId="5558A8F2">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第二个档次（5分）：应急救援预案内容基本完整、应急处理措施及处理程序基本合理、有一定针对性；</w:t>
            </w:r>
          </w:p>
          <w:p w14:paraId="4B750EFE">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第三个档次（3分）：应急救援预案内容不完整、应急处理措施及处理程序不合理、针对性差。</w:t>
            </w:r>
          </w:p>
          <w:p w14:paraId="32204649">
            <w:pPr>
              <w:pStyle w:val="11"/>
              <w:spacing w:line="400" w:lineRule="exact"/>
              <w:rPr>
                <w:rFonts w:ascii="仿宋" w:hAnsi="仿宋" w:eastAsia="仿宋" w:cs="仿宋"/>
                <w:b/>
                <w:sz w:val="24"/>
                <w:szCs w:val="24"/>
                <w:lang w:eastAsia="zh-CN"/>
              </w:rPr>
            </w:pPr>
            <w:r>
              <w:rPr>
                <w:rFonts w:hint="eastAsia" w:ascii="仿宋" w:hAnsi="仿宋" w:eastAsia="仿宋" w:cs="仿宋"/>
                <w:sz w:val="24"/>
                <w:szCs w:val="24"/>
                <w:lang w:eastAsia="zh-CN"/>
              </w:rPr>
              <w:t>备注：无应急救援预案不得分。</w:t>
            </w:r>
          </w:p>
        </w:tc>
      </w:tr>
      <w:tr w14:paraId="065E2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1566" w:type="dxa"/>
            <w:vMerge w:val="continue"/>
            <w:vAlign w:val="center"/>
          </w:tcPr>
          <w:p w14:paraId="161CD0A9">
            <w:pPr>
              <w:pStyle w:val="11"/>
              <w:spacing w:line="400" w:lineRule="exact"/>
              <w:jc w:val="center"/>
              <w:rPr>
                <w:rFonts w:ascii="仿宋" w:hAnsi="仿宋" w:eastAsia="仿宋" w:cs="仿宋"/>
                <w:sz w:val="24"/>
                <w:szCs w:val="24"/>
                <w:lang w:eastAsia="zh-CN"/>
              </w:rPr>
            </w:pPr>
          </w:p>
        </w:tc>
        <w:tc>
          <w:tcPr>
            <w:tcW w:w="1760" w:type="dxa"/>
            <w:vAlign w:val="center"/>
          </w:tcPr>
          <w:p w14:paraId="2AD8922B">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固定经营场所</w:t>
            </w:r>
          </w:p>
          <w:p w14:paraId="3A8560C9">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（满分6分）</w:t>
            </w:r>
          </w:p>
        </w:tc>
        <w:tc>
          <w:tcPr>
            <w:tcW w:w="5460" w:type="dxa"/>
            <w:vAlign w:val="center"/>
          </w:tcPr>
          <w:p w14:paraId="70C4D3C7">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（1）有固定维修厂房（包含但不限于铜工维修场地、烤漆房、机修场地等），并提供相关证明材料（提供产权证或租赁合同或购房合同复印件等相关证明材料）的得4分；</w:t>
            </w:r>
          </w:p>
          <w:p w14:paraId="023D7F1C">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（2）设置接待室（含客户休息室），并提供相关证明材料（提供接待室照片及实施照片，能明示各类证、照、主修车型、作业项目、工时定额及单价等）的得2分。</w:t>
            </w:r>
          </w:p>
          <w:p w14:paraId="308EE618">
            <w:pPr>
              <w:pStyle w:val="11"/>
              <w:spacing w:line="400" w:lineRule="exact"/>
              <w:rPr>
                <w:rFonts w:ascii="仿宋" w:hAnsi="仿宋" w:eastAsia="仿宋" w:cs="仿宋"/>
                <w:b/>
                <w:sz w:val="24"/>
                <w:szCs w:val="24"/>
                <w:lang w:eastAsia="zh-CN"/>
              </w:rPr>
            </w:pPr>
            <w:r>
              <w:rPr>
                <w:rFonts w:hint="eastAsia" w:ascii="仿宋" w:hAnsi="仿宋" w:eastAsia="仿宋" w:cs="仿宋"/>
                <w:sz w:val="24"/>
                <w:szCs w:val="24"/>
                <w:lang w:eastAsia="zh-CN"/>
              </w:rPr>
              <w:t>备注：未附相关证明材料的不得分。</w:t>
            </w:r>
          </w:p>
        </w:tc>
      </w:tr>
      <w:tr w14:paraId="25050F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7" w:hRule="atLeast"/>
          <w:jc w:val="center"/>
        </w:trPr>
        <w:tc>
          <w:tcPr>
            <w:tcW w:w="1566" w:type="dxa"/>
            <w:vMerge w:val="continue"/>
            <w:vAlign w:val="center"/>
          </w:tcPr>
          <w:p w14:paraId="64C96A32">
            <w:pPr>
              <w:pStyle w:val="11"/>
              <w:spacing w:line="400" w:lineRule="exact"/>
              <w:jc w:val="center"/>
              <w:rPr>
                <w:rFonts w:ascii="仿宋" w:hAnsi="仿宋" w:eastAsia="仿宋" w:cs="仿宋"/>
                <w:sz w:val="24"/>
                <w:szCs w:val="24"/>
                <w:lang w:eastAsia="zh-CN"/>
              </w:rPr>
            </w:pPr>
          </w:p>
        </w:tc>
        <w:tc>
          <w:tcPr>
            <w:tcW w:w="1760" w:type="dxa"/>
            <w:vAlign w:val="center"/>
          </w:tcPr>
          <w:p w14:paraId="2D5B90AC">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类似项目业绩</w:t>
            </w:r>
          </w:p>
          <w:p w14:paraId="03E50BDF">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（满分4分）</w:t>
            </w:r>
          </w:p>
        </w:tc>
        <w:tc>
          <w:tcPr>
            <w:tcW w:w="5460" w:type="dxa"/>
            <w:vAlign w:val="center"/>
          </w:tcPr>
          <w:p w14:paraId="07E58AA1">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投标人每提供1个近三年（202</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年1月1日至今）完成的类似项目业绩的得1分，满分4分。</w:t>
            </w:r>
          </w:p>
          <w:p w14:paraId="15C40B1C">
            <w:pPr>
              <w:pStyle w:val="11"/>
              <w:spacing w:line="400" w:lineRule="exact"/>
              <w:rPr>
                <w:rFonts w:ascii="仿宋" w:hAnsi="仿宋" w:eastAsia="仿宋" w:cs="仿宋"/>
                <w:sz w:val="24"/>
                <w:szCs w:val="24"/>
                <w:lang w:eastAsia="zh-CN"/>
              </w:rPr>
            </w:pPr>
            <w:r>
              <w:rPr>
                <w:rFonts w:hint="eastAsia" w:ascii="仿宋" w:hAnsi="仿宋" w:eastAsia="仿宋" w:cs="仿宋"/>
                <w:sz w:val="24"/>
                <w:szCs w:val="24"/>
                <w:lang w:eastAsia="zh-CN"/>
              </w:rPr>
              <w:t>备注：类似业绩指车辆维修或保养，金额不限，业绩证明材料为中标（成交）通知书或合同（合同首页、标的及金额所在页及合同签字盖章页的扫描件加盖公章）。无证明材料或证明材料不明确、无法体现业绩内容的，不予认可。</w:t>
            </w:r>
          </w:p>
        </w:tc>
      </w:tr>
    </w:tbl>
    <w:p w14:paraId="070AC0C3">
      <w:pPr>
        <w:rPr>
          <w:rFonts w:hint="eastAsia" w:ascii="仿宋" w:hAnsi="仿宋" w:eastAsia="仿宋" w:cs="仿宋"/>
          <w:lang w:eastAsia="zh-CN"/>
        </w:rPr>
      </w:pPr>
      <w:bookmarkStart w:id="3" w:name="_Toc30128"/>
    </w:p>
    <w:p w14:paraId="75062B54">
      <w:pPr>
        <w:rPr>
          <w:rFonts w:ascii="仿宋" w:hAnsi="仿宋" w:eastAsia="仿宋" w:cs="仿宋"/>
          <w:lang w:eastAsia="zh-CN"/>
        </w:rPr>
      </w:pPr>
      <w:bookmarkStart w:id="5" w:name="_GoBack"/>
      <w:bookmarkEnd w:id="5"/>
      <w:r>
        <w:rPr>
          <w:rFonts w:hint="eastAsia" w:ascii="仿宋" w:hAnsi="仿宋" w:eastAsia="仿宋" w:cs="仿宋"/>
          <w:lang w:eastAsia="zh-CN"/>
        </w:rPr>
        <w:t>评标方法</w:t>
      </w:r>
      <w:bookmarkEnd w:id="3"/>
      <w:r>
        <w:rPr>
          <w:rFonts w:hint="eastAsia" w:ascii="仿宋" w:hAnsi="仿宋" w:eastAsia="仿宋" w:cs="仿宋"/>
          <w:lang w:eastAsia="zh-CN"/>
        </w:rPr>
        <w:t>：</w:t>
      </w:r>
      <w:r>
        <w:rPr>
          <w:rFonts w:hint="eastAsia" w:ascii="仿宋" w:hAnsi="仿宋" w:eastAsia="仿宋" w:cs="仿宋"/>
          <w:sz w:val="24"/>
          <w:szCs w:val="24"/>
          <w:lang w:eastAsia="zh-CN"/>
        </w:rPr>
        <w:t>本次评标采用综合评估法。评标委员会对满足招标文件实质性要求的投标文件，按照评分标准进行打分，并按得分由高到低顺序推荐中标候选人。综合评分相等时，以投标报价低</w:t>
      </w:r>
      <w:r>
        <w:rPr>
          <w:rFonts w:hint="eastAsia" w:ascii="仿宋" w:hAnsi="仿宋" w:eastAsia="仿宋" w:cs="仿宋"/>
          <w:b/>
          <w:bCs/>
          <w:sz w:val="24"/>
          <w:szCs w:val="24"/>
          <w:lang w:eastAsia="zh-CN"/>
        </w:rPr>
        <w:t>（即下浮率高，下同）</w:t>
      </w:r>
      <w:r>
        <w:rPr>
          <w:rFonts w:hint="eastAsia" w:ascii="仿宋" w:hAnsi="仿宋" w:eastAsia="仿宋" w:cs="仿宋"/>
          <w:sz w:val="24"/>
          <w:szCs w:val="24"/>
          <w:lang w:eastAsia="zh-CN"/>
        </w:rPr>
        <w:t>的优先；若投标报价也相等的，以技术部分得分高的优先；若技术部分得分也相等的，评标委员会遵循少数服从多数的原则，投票表决中标候选人顺序。</w:t>
      </w:r>
    </w:p>
    <w:p w14:paraId="6BDEB2A9">
      <w:bookmarkStart w:id="4" w:name="_bookmark84"/>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CBB50F2"/>
    <w:rsid w:val="45A81B0F"/>
    <w:rsid w:val="5D9E76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宋体" w:hAnsi="宋体" w:eastAsia="宋体" w:cs="宋体"/>
      <w:sz w:val="22"/>
      <w:szCs w:val="22"/>
      <w:lang w:val="en-US" w:eastAsia="en-US" w:bidi="ar-SA"/>
    </w:rPr>
  </w:style>
  <w:style w:type="paragraph" w:styleId="4">
    <w:name w:val="heading 1"/>
    <w:basedOn w:val="1"/>
    <w:next w:val="1"/>
    <w:qFormat/>
    <w:uiPriority w:val="99"/>
    <w:pPr>
      <w:spacing w:line="590" w:lineRule="exact"/>
      <w:ind w:left="3"/>
      <w:outlineLvl w:val="0"/>
    </w:pPr>
    <w:rPr>
      <w:rFonts w:ascii="Microsoft JhengHei" w:hAnsi="Microsoft JhengHei" w:eastAsia="Microsoft JhengHei" w:cs="Microsoft JhengHei"/>
      <w:b/>
      <w:bCs/>
      <w:sz w:val="44"/>
      <w:szCs w:val="44"/>
    </w:rPr>
  </w:style>
  <w:style w:type="paragraph" w:styleId="5">
    <w:name w:val="heading 2"/>
    <w:basedOn w:val="1"/>
    <w:next w:val="6"/>
    <w:qFormat/>
    <w:uiPriority w:val="99"/>
    <w:pPr>
      <w:ind w:left="100" w:right="102"/>
      <w:outlineLvl w:val="1"/>
    </w:pPr>
    <w:rPr>
      <w:rFonts w:ascii="Microsoft JhengHei" w:hAnsi="Microsoft JhengHei" w:eastAsia="Microsoft JhengHei" w:cs="Microsoft JhengHei"/>
      <w:b/>
      <w:bCs/>
      <w:sz w:val="32"/>
      <w:szCs w:val="32"/>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99"/>
    <w:rPr>
      <w:sz w:val="21"/>
      <w:szCs w:val="21"/>
    </w:rPr>
  </w:style>
  <w:style w:type="paragraph" w:styleId="3">
    <w:name w:val="toc 5"/>
    <w:basedOn w:val="1"/>
    <w:next w:val="1"/>
    <w:unhideWhenUsed/>
    <w:qFormat/>
    <w:uiPriority w:val="39"/>
    <w:pPr>
      <w:ind w:left="1680" w:leftChars="800"/>
      <w:jc w:val="both"/>
    </w:pPr>
    <w:rPr>
      <w:rFonts w:ascii="Calibri" w:hAnsi="Calibri" w:cs="Times New Roman"/>
      <w:kern w:val="2"/>
      <w:sz w:val="21"/>
      <w:lang w:eastAsia="zh-CN"/>
    </w:rPr>
  </w:style>
  <w:style w:type="paragraph" w:styleId="6">
    <w:name w:val="Normal Indent"/>
    <w:basedOn w:val="1"/>
    <w:qFormat/>
    <w:uiPriority w:val="99"/>
    <w:pPr>
      <w:ind w:firstLine="420" w:firstLineChars="200"/>
    </w:pPr>
  </w:style>
  <w:style w:type="paragraph" w:styleId="7">
    <w:name w:val="annotation text"/>
    <w:basedOn w:val="1"/>
    <w:next w:val="1"/>
    <w:semiHidden/>
    <w:unhideWhenUsed/>
    <w:qFormat/>
    <w:uiPriority w:val="99"/>
  </w:style>
  <w:style w:type="paragraph" w:styleId="8">
    <w:name w:val="Body Text Indent"/>
    <w:basedOn w:val="1"/>
    <w:next w:val="7"/>
    <w:unhideWhenUsed/>
    <w:qFormat/>
    <w:uiPriority w:val="99"/>
    <w:pPr>
      <w:spacing w:line="460" w:lineRule="exact"/>
      <w:ind w:firstLine="510"/>
    </w:pPr>
  </w:style>
  <w:style w:type="paragraph" w:customStyle="1" w:styleId="11">
    <w:name w:val="Table Paragraph"/>
    <w:basedOn w:val="1"/>
    <w:qFormat/>
    <w:uiPriority w:val="99"/>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4</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2026-07-20T08:46:18Z</dcterms:created>
  <dc:creator>Administrator</dc:creator>
  <cp:lastModifiedBy>SiN²</cp:lastModifiedBy>
  <dcterms:modified xsi:type="dcterms:W3CDTF">2026-07-20T08:56:02Z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eyJoZGlkIjoiMTdiMzVlMzJmNWQyNjg5YWU0M2YxZmJmM2E3NjA1N2EiLCJ1c2VySWQiOiI0MDQ0MzE0NzEifQ==</vt:lpwstr>
  </property>
  <property fmtid="{D5CDD505-2E9C-101B-9397-08002B2CF9AE}" pid="4" name="ICV">
    <vt:lpwstr>AD223A94BD9341C996AD0DC8F51CEA05_12</vt:lpwstr>
  </property>
</Properties>
</file>